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精神科护理</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660"/>
        <w:gridCol w:w="1344"/>
        <w:gridCol w:w="2025"/>
      </w:tblGrid>
      <w:tr w14:paraId="1309521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center"/>
          </w:tcPr>
          <w:p w14:paraId="555408C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5660" w:type="dxa"/>
            <w:tcBorders>
              <w:tl2br w:val="nil"/>
              <w:tr2bl w:val="nil"/>
            </w:tcBorders>
            <w:shd w:val="clear" w:color="auto" w:fill="00B0F0"/>
            <w:vAlign w:val="center"/>
          </w:tcPr>
          <w:p w14:paraId="2BD140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44" w:type="dxa"/>
            <w:tcBorders>
              <w:tl2br w:val="nil"/>
              <w:tr2bl w:val="nil"/>
            </w:tcBorders>
            <w:shd w:val="clear" w:color="auto" w:fill="00B0F0"/>
            <w:vAlign w:val="center"/>
          </w:tcPr>
          <w:p w14:paraId="286B71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2025" w:type="dxa"/>
            <w:tcBorders>
              <w:tl2br w:val="nil"/>
              <w:tr2bl w:val="nil"/>
            </w:tcBorders>
            <w:shd w:val="clear" w:color="auto" w:fill="00B0F0"/>
            <w:vAlign w:val="center"/>
          </w:tcPr>
          <w:p w14:paraId="0A590E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2AC0E1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756B53B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5660" w:type="dxa"/>
            <w:tcBorders>
              <w:tl2br w:val="nil"/>
              <w:tr2bl w:val="nil"/>
            </w:tcBorders>
            <w:shd w:val="clear" w:color="auto" w:fill="FFFFFF"/>
            <w:vAlign w:val="center"/>
          </w:tcPr>
          <w:p w14:paraId="7D4589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44" w:type="dxa"/>
            <w:tcBorders>
              <w:tl2br w:val="nil"/>
              <w:tr2bl w:val="nil"/>
            </w:tcBorders>
            <w:shd w:val="clear" w:color="auto" w:fill="FFFFFF"/>
            <w:vAlign w:val="center"/>
          </w:tcPr>
          <w:p w14:paraId="3231A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3A4097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AA145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BE370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5660" w:type="dxa"/>
            <w:tcBorders>
              <w:tl2br w:val="nil"/>
              <w:tr2bl w:val="nil"/>
            </w:tcBorders>
            <w:shd w:val="clear" w:color="auto" w:fill="FFFFFF"/>
            <w:vAlign w:val="center"/>
          </w:tcPr>
          <w:p w14:paraId="4CE1A9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精神障碍的基础知识</w:t>
            </w:r>
          </w:p>
        </w:tc>
        <w:tc>
          <w:tcPr>
            <w:tcW w:w="1344" w:type="dxa"/>
            <w:tcBorders>
              <w:tl2br w:val="nil"/>
              <w:tr2bl w:val="nil"/>
            </w:tcBorders>
            <w:shd w:val="clear" w:color="auto" w:fill="FFFFFF"/>
            <w:vAlign w:val="center"/>
          </w:tcPr>
          <w:p w14:paraId="2ED5A3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60447D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C60B0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6F51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5660" w:type="dxa"/>
            <w:tcBorders>
              <w:tl2br w:val="nil"/>
              <w:tr2bl w:val="nil"/>
            </w:tcBorders>
            <w:shd w:val="clear" w:color="auto" w:fill="FFFFFF"/>
            <w:vAlign w:val="center"/>
          </w:tcPr>
          <w:p w14:paraId="3C4C25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精神科护理基本技能</w:t>
            </w:r>
          </w:p>
        </w:tc>
        <w:tc>
          <w:tcPr>
            <w:tcW w:w="1344" w:type="dxa"/>
            <w:tcBorders>
              <w:tl2br w:val="nil"/>
              <w:tr2bl w:val="nil"/>
            </w:tcBorders>
            <w:shd w:val="clear" w:color="auto" w:fill="FFFFFF"/>
            <w:vAlign w:val="center"/>
          </w:tcPr>
          <w:p w14:paraId="185CF2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50F452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261E1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54A2C3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5660" w:type="dxa"/>
            <w:tcBorders>
              <w:tl2br w:val="nil"/>
              <w:tr2bl w:val="nil"/>
            </w:tcBorders>
            <w:shd w:val="clear" w:color="auto" w:fill="FFFFFF"/>
            <w:vAlign w:val="center"/>
          </w:tcPr>
          <w:p w14:paraId="5616A3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精神疾病急危状态的防范与护理</w:t>
            </w:r>
          </w:p>
        </w:tc>
        <w:tc>
          <w:tcPr>
            <w:tcW w:w="1344" w:type="dxa"/>
            <w:tcBorders>
              <w:tl2br w:val="nil"/>
              <w:tr2bl w:val="nil"/>
            </w:tcBorders>
            <w:shd w:val="clear" w:color="auto" w:fill="FFFFFF"/>
            <w:vAlign w:val="center"/>
          </w:tcPr>
          <w:p w14:paraId="0C74C5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792E75B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1ABAA1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6E647C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5660" w:type="dxa"/>
            <w:tcBorders>
              <w:tl2br w:val="nil"/>
              <w:tr2bl w:val="nil"/>
            </w:tcBorders>
            <w:shd w:val="clear" w:color="auto" w:fill="FFFFFF"/>
            <w:vAlign w:val="center"/>
          </w:tcPr>
          <w:p w14:paraId="0F98B7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精神疾病治疗过程的护理</w:t>
            </w:r>
          </w:p>
        </w:tc>
        <w:tc>
          <w:tcPr>
            <w:tcW w:w="1344" w:type="dxa"/>
            <w:tcBorders>
              <w:tl2br w:val="nil"/>
              <w:tr2bl w:val="nil"/>
            </w:tcBorders>
            <w:shd w:val="clear" w:color="auto" w:fill="FFFFFF"/>
            <w:vAlign w:val="center"/>
          </w:tcPr>
          <w:p w14:paraId="076F8D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42199D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E62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3C9108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5660" w:type="dxa"/>
            <w:tcBorders>
              <w:tl2br w:val="nil"/>
              <w:tr2bl w:val="nil"/>
            </w:tcBorders>
            <w:shd w:val="clear" w:color="auto" w:fill="FFFFFF"/>
            <w:vAlign w:val="center"/>
          </w:tcPr>
          <w:p w14:paraId="06D191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社区精神卫生服务与家庭护理</w:t>
            </w:r>
          </w:p>
        </w:tc>
        <w:tc>
          <w:tcPr>
            <w:tcW w:w="1344" w:type="dxa"/>
            <w:tcBorders>
              <w:tl2br w:val="nil"/>
              <w:tr2bl w:val="nil"/>
            </w:tcBorders>
            <w:shd w:val="clear" w:color="auto" w:fill="FFFFFF"/>
            <w:vAlign w:val="center"/>
          </w:tcPr>
          <w:p w14:paraId="205FE2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682C4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62A5E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1ED39A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5660" w:type="dxa"/>
            <w:tcBorders>
              <w:tl2br w:val="nil"/>
              <w:tr2bl w:val="nil"/>
            </w:tcBorders>
            <w:shd w:val="clear" w:color="auto" w:fill="FFFFFF"/>
            <w:vAlign w:val="center"/>
          </w:tcPr>
          <w:p w14:paraId="43F975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器质性精神障碍患者的护理</w:t>
            </w:r>
          </w:p>
        </w:tc>
        <w:tc>
          <w:tcPr>
            <w:tcW w:w="1344" w:type="dxa"/>
            <w:tcBorders>
              <w:tl2br w:val="nil"/>
              <w:tr2bl w:val="nil"/>
            </w:tcBorders>
            <w:shd w:val="clear" w:color="auto" w:fill="FFFFFF"/>
            <w:vAlign w:val="center"/>
          </w:tcPr>
          <w:p w14:paraId="6245EF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0D3029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D57F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EC53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5660" w:type="dxa"/>
            <w:tcBorders>
              <w:tl2br w:val="nil"/>
              <w:tr2bl w:val="nil"/>
            </w:tcBorders>
            <w:shd w:val="clear" w:color="auto" w:fill="FFFFFF"/>
            <w:vAlign w:val="center"/>
          </w:tcPr>
          <w:p w14:paraId="5DFF2B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精神活性物质所致精神障碍患者的护理</w:t>
            </w:r>
          </w:p>
        </w:tc>
        <w:tc>
          <w:tcPr>
            <w:tcW w:w="1344" w:type="dxa"/>
            <w:tcBorders>
              <w:tl2br w:val="nil"/>
              <w:tr2bl w:val="nil"/>
            </w:tcBorders>
            <w:shd w:val="clear" w:color="auto" w:fill="FFFFFF"/>
            <w:vAlign w:val="center"/>
          </w:tcPr>
          <w:p w14:paraId="458EEF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1DDF75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F60F9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C240A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5660" w:type="dxa"/>
            <w:tcBorders>
              <w:tl2br w:val="nil"/>
              <w:tr2bl w:val="nil"/>
            </w:tcBorders>
            <w:shd w:val="clear" w:color="auto" w:fill="FFFFFF"/>
            <w:vAlign w:val="center"/>
          </w:tcPr>
          <w:p w14:paraId="683F8E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精神分裂症患者的护理</w:t>
            </w:r>
          </w:p>
        </w:tc>
        <w:tc>
          <w:tcPr>
            <w:tcW w:w="1344" w:type="dxa"/>
            <w:tcBorders>
              <w:tl2br w:val="nil"/>
              <w:tr2bl w:val="nil"/>
            </w:tcBorders>
            <w:shd w:val="clear" w:color="auto" w:fill="FFFFFF"/>
            <w:vAlign w:val="center"/>
          </w:tcPr>
          <w:p w14:paraId="7FE967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C5240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FAFA8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F588F7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5660" w:type="dxa"/>
            <w:tcBorders>
              <w:tl2br w:val="nil"/>
              <w:tr2bl w:val="nil"/>
            </w:tcBorders>
            <w:shd w:val="clear" w:color="auto" w:fill="FFFFFF"/>
            <w:vAlign w:val="center"/>
          </w:tcPr>
          <w:p w14:paraId="2AF35C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心境障碍患者的护理</w:t>
            </w:r>
          </w:p>
        </w:tc>
        <w:tc>
          <w:tcPr>
            <w:tcW w:w="1344" w:type="dxa"/>
            <w:tcBorders>
              <w:tl2br w:val="nil"/>
              <w:tr2bl w:val="nil"/>
            </w:tcBorders>
            <w:shd w:val="clear" w:color="auto" w:fill="FFFFFF"/>
            <w:vAlign w:val="center"/>
          </w:tcPr>
          <w:p w14:paraId="343E95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59BFA4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B390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5833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5660" w:type="dxa"/>
            <w:tcBorders>
              <w:tl2br w:val="nil"/>
              <w:tr2bl w:val="nil"/>
            </w:tcBorders>
            <w:shd w:val="clear" w:color="auto" w:fill="FFFFFF"/>
            <w:vAlign w:val="center"/>
          </w:tcPr>
          <w:p w14:paraId="26C4DD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神经症和癔症患者的护理</w:t>
            </w:r>
          </w:p>
        </w:tc>
        <w:tc>
          <w:tcPr>
            <w:tcW w:w="1344" w:type="dxa"/>
            <w:tcBorders>
              <w:tl2br w:val="nil"/>
              <w:tr2bl w:val="nil"/>
            </w:tcBorders>
            <w:shd w:val="clear" w:color="auto" w:fill="FFFFFF"/>
            <w:vAlign w:val="center"/>
          </w:tcPr>
          <w:p w14:paraId="57C162F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E1C00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6C41F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75E8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5660" w:type="dxa"/>
            <w:tcBorders>
              <w:tl2br w:val="nil"/>
              <w:tr2bl w:val="nil"/>
            </w:tcBorders>
            <w:shd w:val="clear" w:color="auto" w:fill="FFFFFF"/>
            <w:vAlign w:val="center"/>
          </w:tcPr>
          <w:p w14:paraId="5A5036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心理因素相关生理障碍与应激相关障碍患者的护理</w:t>
            </w:r>
          </w:p>
        </w:tc>
        <w:tc>
          <w:tcPr>
            <w:tcW w:w="1344" w:type="dxa"/>
            <w:tcBorders>
              <w:tl2br w:val="nil"/>
              <w:tr2bl w:val="nil"/>
            </w:tcBorders>
            <w:shd w:val="clear" w:color="auto" w:fill="FFFFFF"/>
            <w:vAlign w:val="center"/>
          </w:tcPr>
          <w:p w14:paraId="292434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8D341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13622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475EB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5660" w:type="dxa"/>
            <w:tcBorders>
              <w:tl2br w:val="nil"/>
              <w:tr2bl w:val="nil"/>
            </w:tcBorders>
            <w:shd w:val="clear" w:color="auto" w:fill="FFFFFF"/>
            <w:vAlign w:val="center"/>
          </w:tcPr>
          <w:p w14:paraId="52651B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儿童青少年期精神障碍患者的护理</w:t>
            </w:r>
          </w:p>
        </w:tc>
        <w:tc>
          <w:tcPr>
            <w:tcW w:w="1344" w:type="dxa"/>
            <w:tcBorders>
              <w:tl2br w:val="nil"/>
              <w:tr2bl w:val="nil"/>
            </w:tcBorders>
            <w:shd w:val="clear" w:color="auto" w:fill="FFFFFF"/>
            <w:vAlign w:val="center"/>
          </w:tcPr>
          <w:p w14:paraId="364F7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36602B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71A4E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A0169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5660" w:type="dxa"/>
            <w:tcBorders>
              <w:tl2br w:val="nil"/>
              <w:tr2bl w:val="nil"/>
            </w:tcBorders>
            <w:shd w:val="clear" w:color="auto" w:fill="FFFFFF"/>
            <w:vAlign w:val="center"/>
          </w:tcPr>
          <w:p w14:paraId="349644C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44" w:type="dxa"/>
            <w:tcBorders>
              <w:tl2br w:val="nil"/>
              <w:tr2bl w:val="nil"/>
            </w:tcBorders>
            <w:shd w:val="clear" w:color="auto" w:fill="FFFFFF"/>
            <w:vAlign w:val="center"/>
          </w:tcPr>
          <w:p w14:paraId="7F0AA2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3BDA6F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0E3E0A56">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5</w:t>
      </w:r>
      <w:r>
        <w:rPr>
          <w:rFonts w:hint="eastAsia"/>
          <w:color w:val="6787B2"/>
        </w:rPr>
        <w:t>课  精神疾病治疗过程的护理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13C96EC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5F2F809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463EEE3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精神疾病治疗过程的护理</w:t>
            </w:r>
          </w:p>
        </w:tc>
      </w:tr>
      <w:tr w14:paraId="67874D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2193D1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6AC6A22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3</w:t>
            </w:r>
            <w:r>
              <w:rPr>
                <w:rFonts w:hint="default" w:ascii="Times New Roman" w:hAnsi="宋体"/>
                <w:szCs w:val="20"/>
              </w:rPr>
              <w:t>课时</w:t>
            </w:r>
            <w:r>
              <w:rPr>
                <w:rFonts w:hint="eastAsia" w:ascii="Times New Roman" w:hAnsi="宋体"/>
                <w:szCs w:val="20"/>
              </w:rPr>
              <w:t>（</w:t>
            </w:r>
            <w:r>
              <w:rPr>
                <w:rFonts w:hint="default" w:ascii="Times New Roman" w:hAnsi="宋体"/>
                <w:szCs w:val="20"/>
              </w:rPr>
              <w:t>1</w:t>
            </w:r>
            <w:r>
              <w:rPr>
                <w:rFonts w:hint="eastAsia" w:ascii="Times New Roman" w:hAnsi="宋体"/>
                <w:szCs w:val="20"/>
                <w:lang w:val="en-US" w:eastAsia="zh-CN"/>
              </w:rPr>
              <w:t>35</w:t>
            </w:r>
            <w:r>
              <w:rPr>
                <w:rFonts w:hint="eastAsia" w:ascii="Times New Roman" w:hAnsi="宋体"/>
                <w:szCs w:val="20"/>
              </w:rPr>
              <w:t xml:space="preserve"> min）。</w:t>
            </w:r>
          </w:p>
        </w:tc>
      </w:tr>
      <w:tr w14:paraId="584F9A1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75D513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30279BA6">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2CC8AE3E">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熟悉抗精神病药物的分类与临床应用。</w:t>
            </w:r>
          </w:p>
          <w:p w14:paraId="40BF0BD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掌握应用抗精神病药物治疗期间的护理措施。</w:t>
            </w:r>
          </w:p>
          <w:p w14:paraId="36E011B3">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290824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精神疾病治疗过程的护理</w:t>
            </w:r>
            <w:r>
              <w:rPr>
                <w:rFonts w:hint="eastAsia" w:ascii="Times New Roman" w:hAnsi="宋体"/>
                <w:bCs/>
                <w:szCs w:val="20"/>
              </w:rPr>
              <w:t>，具有敏锐的观察力，以及具有果断、灵活的心理素质。</w:t>
            </w:r>
          </w:p>
        </w:tc>
      </w:tr>
      <w:tr w14:paraId="724608E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FD3A6B1">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6004D89E">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抗精神病药物的分类与临床应用。</w:t>
            </w:r>
          </w:p>
          <w:p w14:paraId="433847F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应用抗精神病药物治疗期间的护理措施。</w:t>
            </w:r>
          </w:p>
        </w:tc>
      </w:tr>
      <w:tr w14:paraId="51F6610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7B17B5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090E7DF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1AC795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0C391B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041DDEE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423BA8A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E0F6FF"/>
            <w:vAlign w:val="center"/>
          </w:tcPr>
          <w:p w14:paraId="2BBF765B">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4CA3707C">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4D182628">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298A19E3">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tc>
      </w:tr>
      <w:tr w14:paraId="2ACD0D6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E0F6FF"/>
            <w:vAlign w:val="center"/>
          </w:tcPr>
          <w:p w14:paraId="0B1C7C18">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E0F6FF"/>
            <w:vAlign w:val="center"/>
          </w:tcPr>
          <w:p w14:paraId="2B36A11D">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E0F6FF"/>
            <w:vAlign w:val="center"/>
          </w:tcPr>
          <w:p w14:paraId="551B08C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66B88FD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E0F6FF"/>
            <w:vAlign w:val="center"/>
          </w:tcPr>
          <w:p w14:paraId="5308236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0B94E4B3">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1AF089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429478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7B0B4C5B">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w:t>
            </w:r>
            <w:r>
              <w:rPr>
                <w:rFonts w:hint="eastAsia" w:ascii="Times New Roman" w:hAnsi="Times New Roman"/>
                <w:szCs w:val="20"/>
                <w:lang w:eastAsia="zh-CN"/>
              </w:rPr>
              <w:t>，</w:t>
            </w:r>
            <w:bookmarkStart w:id="0" w:name="_GoBack"/>
            <w:bookmarkEnd w:id="0"/>
            <w:r>
              <w:rPr>
                <w:rFonts w:hint="eastAsia" w:ascii="Times New Roman" w:hAnsi="Times New Roman"/>
                <w:szCs w:val="20"/>
              </w:rPr>
              <w:t>掌握学生的出勤情况</w:t>
            </w:r>
          </w:p>
        </w:tc>
      </w:tr>
      <w:tr w14:paraId="14E0128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233E87A">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AF8B3D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D5003C0">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展示精神药物治疗过程的护理</w:t>
            </w:r>
          </w:p>
          <w:p w14:paraId="37B25D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一、精神药物概述</w:t>
            </w:r>
          </w:p>
          <w:p w14:paraId="0BC403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精神药物，是指作用于中枢神经，能影响认知、情感和行为的药物。精神药物治疗以化学药物为手段，对紊乱的大脑神经化学过程进行调整，以达到控制精神病性症状，改善和矫正病理思维、心境和行为，预防复发，提高患者生活质量，促进社会适应能力的恢复的目的。</w:t>
            </w:r>
          </w:p>
          <w:p w14:paraId="414C47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精神药物种类繁多，有不同的分类系统，按药理作用可分为典型（传统）抗精神病药物和非典型（非传统）抗精神病药物。但目前仍使用以临床应用目的为主，化学结构或药理作用为辅的分类原则。主要用于治疗精神分裂症或其他重性精神病者，称为抗精神病药；主要用于治疗各种抑郁状态者，称为抗抑郁药；主要用于治疗躁狂症者，称为抗躁狂药；主要用于缓解焦虑紧张者，称为抗焦虑药。</w:t>
            </w:r>
          </w:p>
          <w:p w14:paraId="0128E1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（一）抗精神病药物</w:t>
            </w:r>
          </w:p>
          <w:p w14:paraId="7B01C9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常用的抗精神病药物有氯丙嗪、氟哌啶醇、奋乃静、舒必利、氯氮平、利培酮、奥氮平、喹硫平、齐拉西酮、阿立哌唑等。典型抗精神病药主要通过阻断中枢多巴胺 2（D2）受体发挥作用，在治疗过程中可产生锥体外系副作用和催乳素水平升高；非典型抗精神病药物主要通过阻断五羟色胺 2A（5-HT2A）受体和 D2 受体发挥作用，但对 5-HT2A 受体作用大于 D2 受体作用，所以在治疗中较少产生锥体外系副作用和催乳素水平升高。</w:t>
            </w:r>
          </w:p>
          <w:p w14:paraId="4788A5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临床应用</w:t>
            </w:r>
          </w:p>
          <w:p w14:paraId="7C12DB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（1）适应证：主要应用于治疗精神分裂症和分裂情感性精神障碍及预防精神分裂症的复发、人格障碍、心境障碍以及其他具有精神病性症状的疾病。</w:t>
            </w:r>
          </w:p>
          <w:p w14:paraId="0A00B7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（2）禁忌证：同种药物有过敏史，严重的心血管疾病，严重的肝脏、肾脏疾病，严重的全身性疾病者禁用。</w:t>
            </w:r>
          </w:p>
          <w:p w14:paraId="137746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不良反应与处理</w:t>
            </w:r>
          </w:p>
          <w:p w14:paraId="7FD87B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（1）锥体外系副作用（EPS）：这与抗精神病药物阻滞黑质纹状体 D2 受体有关，主要有以下表现形式。</w:t>
            </w:r>
          </w:p>
          <w:p w14:paraId="6B25C1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植物神经系统在生理上由大脑皮质进行支配和调节，当外界刺激因素强度过大，或持续时间过长时，会使大脑皮质的部分区域过度兴奋，大脑的血管紧张痉挛，血行缓慢瘀滞，因此导致大脑供血不足，脑细胞低氧，代谢废物淤积，从而使大脑神经调节能力下降。当植物神经功能紊乱时，主要表现为多汗、流涎、血压不稳、心动过速、体温升高等。</w:t>
            </w:r>
          </w:p>
          <w:p w14:paraId="735206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（2）精神方面的副反应主要表现为以下内容。</w:t>
            </w:r>
          </w:p>
          <w:p w14:paraId="008473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① 过度镇静：表现为乏力、嗜睡。</w:t>
            </w:r>
          </w:p>
          <w:p w14:paraId="1C4442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② 精神运动性兴奋：少数患者出现明显兴奋躁动、焦虑不安、激动、敌意、冲动和攻击行为。</w:t>
            </w:r>
          </w:p>
          <w:p w14:paraId="632691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③ 意识障碍或中枢胆碱能综合征：其症状和中毒性精神病相似，如定向力障碍、谵妄、近记忆障碍、言语散漫、错觉、幻觉、刻板动作或冲动行为。可伴有脉速、出汗、震颤等。</w:t>
            </w:r>
          </w:p>
          <w:p w14:paraId="482171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④ 药源性抑郁状态：临床表现为焦虑、烦躁、心境恶劣、快感缺失、消极悲观。处理方法：应减药或停药，或加用抗抑郁药。</w:t>
            </w:r>
          </w:p>
          <w:p w14:paraId="76E717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（3）抗胆碱能副作用：主要表现为便秘、排尿困难、口干、鼻塞、视力模糊、加剧青光眼等。处理方法：轻症一般不需处理，症状重者出现抗胆碱能危象，应减药或停药并急诊处理。</w:t>
            </w:r>
          </w:p>
          <w:p w14:paraId="193709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（4）心血管系统副作用：以体位性低血压、反射性心动过速较为常见。表现为头晕、眼花、心慌、面色苍白、脉速，尤其是在突然改变体位时，可导致晕厥、摔伤和休克。</w:t>
            </w:r>
          </w:p>
          <w:p w14:paraId="46CD3D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处理方法：发生体位性低血压时，轻者平卧休息，同时告诫患者起床宜慢，不要猛然改变体位；重者必要时予 α- 肾上腺素受体激动剂，使血管收缩，产生升压作用。禁用肾上腺素，因肾上腺素同时有 β- 受体激动作用，使外周血管扩张，加剧低血压；心动过速予普萘洛尔治疗。</w:t>
            </w:r>
          </w:p>
          <w:p w14:paraId="5A668D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（5）恶性综合征：很少见，但会危及生命。主要表现为高热、意识障碍、震颤、肌强直、植物神经功能不稳定，如心悸、出汗等。有时可并发感染、心衰、休克而死亡。</w:t>
            </w:r>
          </w:p>
          <w:p w14:paraId="28191B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处理方法：应立即停止使用抗精神病药，同时可以给予溴隐亭及肌肉松弛剂如硝苯呋海因钠、地西泮等药物，并根据患者具体情况给予支持对症处理，如降温、预防感染等。</w:t>
            </w:r>
          </w:p>
          <w:p w14:paraId="7460BD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（6）肝脏损害：最常见无黄疸性肝功能障碍，但多为一过性转氨酶升高，一般无明显症状，且多能自行恢复。处理方法：可加服保肝护肝药并定期复查监测。</w:t>
            </w:r>
          </w:p>
          <w:p w14:paraId="36F493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（7）代谢和内分泌副作用：主要表现为闭经、泌乳、性欲减退、阳痿、射精困难、体重增加，并发糖尿病、高血压病等。处理方法：给予对症治疗或换用对代谢和内分泌影响小的药物，如阿立哌唑。</w:t>
            </w:r>
          </w:p>
          <w:p w14:paraId="198ED8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8）造血系统副作用：最严重的是出现粒细胞缺乏，服用氯氮平者多见，与剂量无明显关系；罕见溶血性贫血、全血细胞减少和血小板减少症。处理方法：严重者立即停药，予惠尔血等特效升白细胞药物及其他对症、支持治疗。</w:t>
            </w:r>
          </w:p>
          <w:p w14:paraId="0A6CC2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（9）皮肤损害：为药物过敏所致，常见皮疹如斑丘疹、荨麻疹，可予抗过敏药物治疗；剥脱性皮炎罕见，但病情严重，一旦出现应立即停药并及时处理。</w:t>
            </w:r>
          </w:p>
          <w:p w14:paraId="150CFA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（二）抗抑郁药物</w:t>
            </w:r>
          </w:p>
          <w:p w14:paraId="1EAA5A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抗抑郁药物主要用于治疗各种抑郁状态和预防抑郁障碍反复发作。部分抗抑郁药物还适用于强迫症、焦虑症、惊恐障碍、躯体化症状等。抗抑郁药物可分为 3 类：①三环类和四环类抗抑郁剂（TCA）；②单胺氧化酶抑制剂（MAOI）；③新型抗抑郁剂，如选择性 5-HT 再摄取抑制剂（SSRI）。目前，三环类和四环类抗抑郁剂、选择性 5-HT再摄取抑制剂为一线用药，单胺氧化酶抑制剂因毒副作用大已成为二线用药。</w:t>
            </w:r>
          </w:p>
          <w:p w14:paraId="03D2A1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三环类和四环类抗抑郁剂　其作用机制为抑制突触前膜对去甲肾上腺素（NE）和五羟色胺（5-HT）的回收，对多巴胺（DA）作用小。三环类和四环类常用的有丙咪嗪、氯丙咪嗪、阿米替林、多塞平等；四环类常用的有阿莫沙平、麦普替林、米安舍林等。</w:t>
            </w:r>
          </w:p>
          <w:p w14:paraId="1DFE7A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（1）适应证：适用于抑郁症、心境恶劣障碍、心因所致的抑郁、精神分裂症后抑郁、双相障碍抑郁相、强迫障碍、焦虑症、焦虑障碍、各种疼痛综合征、神经性厌食、注意缺陷多动障碍、躯体疾病性抑郁等。</w:t>
            </w:r>
          </w:p>
          <w:p w14:paraId="27914C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（2）禁忌证：严重的心、肝、肾疾病，癫痫，闭角性青光眼，孕妇及对 TCA 过敏者等。</w:t>
            </w:r>
          </w:p>
          <w:p w14:paraId="59E568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（3）不良反应：</w:t>
            </w:r>
          </w:p>
          <w:p w14:paraId="711B58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① 抗胆碱能作用：最常见，表现为口干、便秘、排尿困难、扩瞳、视力模糊、青光眼加剧等。</w:t>
            </w:r>
          </w:p>
          <w:p w14:paraId="0F2E35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② 神经系统：表现为嗜睡，乏力，还可能出现头痛、震颤、抽搐等。</w:t>
            </w:r>
          </w:p>
          <w:p w14:paraId="3C9C1A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③ 心血管系统：是主要的副反应，常见的有心动过速、心脏传导阻滞、体位性低血压等。</w:t>
            </w:r>
          </w:p>
          <w:p w14:paraId="08330A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④ 其他：如体重增加、过敏性皮疹、肝损害、粒细胞减少等。</w:t>
            </w:r>
          </w:p>
          <w:p w14:paraId="4DC20F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单胺氧化酶抑制剂（MOAI）　其作用机制是主要通过抑制单胺氧化酶（MOA），减少中枢神经内单胺类递质的破坏，增加突触间隙内的浓度，起到提高情绪的作用。分为两大类型，一类为不可逆性单胺氧化酶抑制剂，因其副反应多，目前基本不用；另一类为新一代单胺氧化酶抑制剂，为可逆性，较为安全，作为二线药使用。</w:t>
            </w:r>
          </w:p>
          <w:p w14:paraId="5D4F73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（1）适应证：主要用于三环类或其他药物无效的抑郁症。</w:t>
            </w:r>
          </w:p>
          <w:p w14:paraId="3CBCF1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（2）禁忌证：禁止与三环类和四环类抗抑郁剂以及选择性 5-HT 再摄取抑制剂联用，以免引起5-HT综合征；孕妇及哺乳妇女禁用；有心、肝、肾疾病及甲状腺功能亢进者慎用。</w:t>
            </w:r>
          </w:p>
          <w:p w14:paraId="09DAAC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（3）不良反应及用药注意事项：常见的不良反应有体位性低血压、体重增加、水肿、性功能障碍、失眠、口干等。用药过程中应避免食用富含酪胺的食物（如奶酪、鸡肝、啤酒等），否则易引起高血压危象。</w:t>
            </w:r>
          </w:p>
          <w:p w14:paraId="47759F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新型抗抑郁剂　包括选择性 5-HT 再摄取抑制剂（SSRI）：如氟西汀、帕罗西汀、舍曲林、氟伏沙明、西酞普兰，其作用机制为选择性抑制突触前膜 5-HT 的回收，使突触间隙 5-HT 的含量升高，从而缓解抑郁症状。选择性 5-HT 及 NE 回收抑制剂（SNRIs），如文拉法新；选择性 NE 回收抑制剂（NRIS），如瑞波西丁；NE 及特异性 5-HT 能抗抑郁剂（NaSSA），如米氮平。</w:t>
            </w:r>
          </w:p>
          <w:p w14:paraId="34445F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（1）适应证：适应证广，远远超出抗抑郁的治疗范畴。</w:t>
            </w:r>
          </w:p>
          <w:p w14:paraId="21C759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①抑郁障碍：各种类型和不同程度的轻、中、重度抑郁，包括双相抑郁，心因性、老年期和继发性抑郁，焦虑性抑郁以及心境恶劣障碍。</w:t>
            </w:r>
          </w:p>
          <w:p w14:paraId="772489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②某些类型的神经症：焦虑症、惊恐障碍、抑郁性神经症、疑病症、恐惧症、强迫障碍、贪食症、外伤后应激、月经前心境恶劣等。</w:t>
            </w:r>
          </w:p>
          <w:p w14:paraId="41C755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（2）禁忌证：禁止与单胺氧化酶抑制剂、L- 色氨酸联用，因可能产生致死性 5-HT综合征；孕妇禁用；严重心、肝、肾疾病、老人、儿童慎用。</w:t>
            </w:r>
          </w:p>
          <w:p w14:paraId="66A3B8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（3）不良反应：不良反应小，最常见的为胃肠副反应，如恶心、厌食、腹泻或便秘等。其次为性功能障碍，包括性欲减退、阳痿、射精延迟和性快感缺失等。</w:t>
            </w:r>
          </w:p>
          <w:p w14:paraId="38C3CF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（三）抗躁狂药物</w:t>
            </w:r>
          </w:p>
          <w:p w14:paraId="799A48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抗躁狂药物又称为情感（心境）稳定剂，既有治疗躁狂的作用，又对双相情感障碍有稳定病情和预防复发的作用。主要包括碳酸锂和某些抗癫痫药物（如酰胺咪嗪、丙戊酸盐）以及拉莫三嗪、托吡酯等。</w:t>
            </w:r>
          </w:p>
          <w:p w14:paraId="5EAAE6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碳酸锂</w:t>
            </w:r>
          </w:p>
          <w:p w14:paraId="2CABA7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（1）适应证：主要用于治疗躁狂症；对双相情感障碍有治疗和预防复发的作用；对精神分裂症的情感症状和冲动攻击行为有效。</w:t>
            </w:r>
          </w:p>
          <w:p w14:paraId="2588E4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（2）禁忌证：肾功能障碍、严重心血管疾病、重症肌无力、急性感染、电解质紊乱（低钠、低盐饮食者）等；孕妇禁用，老年人慎用。</w:t>
            </w:r>
          </w:p>
          <w:p w14:paraId="12FBFE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（3）不良反应：与锂在肾脏与钠竞争中吸收、缺钠或肾脏疾病导致体内锂蓄积中毒有关，治疗量血锂浓度宜为 0.8 ～ 1.0mmol/L，维持治疗血锂浓度约为 0.4 ～ 0.8mmol/L，超过 1.4mmol/L 易产生中毒反应。</w:t>
            </w:r>
          </w:p>
          <w:p w14:paraId="369E2E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① 胃肠道副作用：最常见，表现为厌食、上腹不适、恶心、呕吐、稀便、腹泻。</w:t>
            </w:r>
          </w:p>
          <w:p w14:paraId="427B22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② 其他症状：疲乏、无力、嗜睡、手指震颤、多尿、口干、烦渴、体重增加、甲状腺肿大、黏液性水肿等。</w:t>
            </w:r>
          </w:p>
          <w:p w14:paraId="4855B7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（4）处理措施：锂盐中毒无特殊解毒剂，应立即停药和清除过多的锂，大量给予生理盐水或高渗钠盐加速锂的排泄；维持水电解质平衡；严重中毒者可予血液透析。</w:t>
            </w:r>
          </w:p>
          <w:p w14:paraId="10DC93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酰胺咪嗪（卡马西平）　作用机制尚不清楚。</w:t>
            </w:r>
          </w:p>
          <w:p w14:paraId="0C5221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（1）适应证：酰胺咪嗪有明显治疗和预防躁狂的作用，是锂盐治疗和预防躁狂的补充，对抑郁效果较差。锂盐治疗无效时，酰胺咪嗪为一种安全、有效的锂盐替代品和辅佐药物。</w:t>
            </w:r>
          </w:p>
          <w:p w14:paraId="14966E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（2）禁忌证：严重心、肝疾病和对酰胺咪嗪过敏者及孕妇禁用；对糖尿病、青光眼、前列腺肥大、酒精依赖者慎用。</w:t>
            </w:r>
          </w:p>
          <w:p w14:paraId="268DB6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不良反应：包括恶心、呕吐、口干、倦睡、头晕、头疼、视力模糊、复视、共济失调、反射亢进、肌阵挛，还可出现过敏性皮疹、心电图改变、肝功能异常，这往往与剂量有关；对血液系统的影响包括粒细胞缺乏和再生障碍性贫血，与剂量无关，为特发性和不可预测性，严重者可导致死亡。</w:t>
            </w:r>
          </w:p>
          <w:p w14:paraId="02EDEE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丙戊酸盐　其作用机制尚不十分清楚。常用的有丙戊酸钠和丙戊酸镁，其疗效与锂盐相当，对混合型躁狂、快速循环型心境障碍，及对锂盐无效者可能效果更佳。</w:t>
            </w:r>
          </w:p>
          <w:p w14:paraId="702C1E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（1）适应证：主要用于急性躁狂和双相障碍的治疗与预防。</w:t>
            </w:r>
          </w:p>
          <w:p w14:paraId="73EF41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（2）禁忌证：孕妇禁用；严重肝、胰腺疾病者不宜使用。</w:t>
            </w:r>
          </w:p>
          <w:p w14:paraId="76D660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（3）不良反应：主要为胃肠道反应、镇静、共济失调等，肝脏、胰腺疾病者可发生特发性副作用，如肝衰竭、胰腺炎，可致死。</w:t>
            </w:r>
          </w:p>
          <w:p w14:paraId="4C835F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（四）抗焦虑药物</w:t>
            </w:r>
          </w:p>
          <w:p w14:paraId="3D764A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抗焦虑药物是主要用于减轻焦虑、紧张、恐怖，稳定情绪，同时有镇静、催眠、抗惊厥作用的药物。主要分为两类，一类为使用广泛的苯二氮类药物（BDZ）；另一类为非苯二氮类药物，包括丁螺环酮、β- 受体阻滞剂普萘洛尔，以及部分抗抑郁剂。</w:t>
            </w:r>
          </w:p>
          <w:p w14:paraId="17B543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苯二氮类药物　其作用机制为苯二氮类药物加强 γ- 氨基丁酸（GABA）能神经传导，从而间接改变了其他递质如 NE 和 5-HT 功能，具有抗焦虑、抗惊厥、抗癫痫、镇静催眠、松弛骨骼肌的作用。常用药物有地西泮、氯硝西泮、劳拉西泮、艾司唑仑、三唑仑等。</w:t>
            </w:r>
          </w:p>
          <w:p w14:paraId="710F5B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（1）适应证：用于各类神经症、失眠症、躯体疾病所致的焦虑紧张状态、癫痫以及酒依赖戒断的替代治疗。</w:t>
            </w:r>
          </w:p>
          <w:p w14:paraId="0970A0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（2）禁忌证：严重心肝肾疾病、药物过敏、重症肌无力者、青光眼孕妇或哺乳期妇女禁用。</w:t>
            </w:r>
          </w:p>
          <w:p w14:paraId="31E9F4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不良反应：一般来说，苯二氮类药物的耐受性好，副作用小。较常见的有呼吸抑制、过度镇静、困倦、嗜睡、头晕、注意力不集中、记忆力下降等，长期使用苯二氮类药物可发生依赖。突然停药会产生戒断症状，如严重的睡眠障碍、焦虑、紧张、易激惹、注意力不集中、惊恐发作等。</w:t>
            </w:r>
          </w:p>
          <w:p w14:paraId="3891BA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非苯二氮类药物　常用的是丁螺环酮，为 5-HT 激动剂。</w:t>
            </w:r>
          </w:p>
          <w:p w14:paraId="1D28CD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（1）适应证：主要用于治疗广泛性焦虑伴有其他情绪障碍者和伴有呼吸系统疾病的焦虑患者。</w:t>
            </w:r>
          </w:p>
          <w:p w14:paraId="75E664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（2）禁忌证：孕妇、哺乳期妇女禁用；禁与单胺氧化酶抑制剂联用；严重心肝肾疾病者慎用。</w:t>
            </w:r>
          </w:p>
          <w:p w14:paraId="5EFF86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（3）不良反应：常见的有头晕、头疼、恶心、紧张，但症状轻，一般都能耐受。</w:t>
            </w:r>
          </w:p>
          <w:p w14:paraId="1F46F3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二、抗精神病药物治疗的护理</w:t>
            </w:r>
          </w:p>
          <w:p w14:paraId="283BD4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护士在精神科药物治疗过程中起重要的作用。其工作内容包括：在治疗前收集基本资料；参与患者治疗方式的选择与协调；有关药物治疗的卫生宣教；观察与监测治疗效果和副反应；药物治疗的护理措施；继续治疗的跟踪；临床药物研究的参与；等等。</w:t>
            </w:r>
          </w:p>
          <w:p w14:paraId="3147DB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（一）潜在护理问题</w:t>
            </w:r>
          </w:p>
          <w:p w14:paraId="23CC3B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潜在危险性伤害　体位性低血压、步态改变、肢体僵硬、行动迟缓、意识混乱等。</w:t>
            </w:r>
          </w:p>
          <w:p w14:paraId="432EA3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身体活动功能障碍　类帕金森综合征、运动不能、静坐不能、手抖等。</w:t>
            </w:r>
          </w:p>
          <w:p w14:paraId="5E5555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感知觉改变　角膜、晶状体和皮肤上形成紫灰色素沉着、视力模糊等。</w:t>
            </w:r>
          </w:p>
          <w:p w14:paraId="285356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思维过程改变　记忆力下降或丧失。</w:t>
            </w:r>
          </w:p>
          <w:p w14:paraId="692C0D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营养状况改变，多于身体需要量　胃口增加、体重增加。</w:t>
            </w:r>
          </w:p>
          <w:p w14:paraId="4D57AC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6. 睡眠形态紊乱　嗜睡。</w:t>
            </w:r>
          </w:p>
          <w:p w14:paraId="363452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7. 排泄形态改变　便秘、腹泻、小便潴留等。</w:t>
            </w:r>
          </w:p>
          <w:p w14:paraId="2C398C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8. 口腔黏膜改变　口干、唾液分泌减少、皮肤完整性受损（皮肤对光过敏）。</w:t>
            </w:r>
          </w:p>
          <w:p w14:paraId="12CADB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9. 性功能障碍　勃起或射精困难。</w:t>
            </w:r>
          </w:p>
          <w:p w14:paraId="0C9DB0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10. 自我照顾能力缺失　与运动不能、静坐不能等有关；拒绝治疗、藏药等。</w:t>
            </w:r>
          </w:p>
          <w:p w14:paraId="66C133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（二）护理措施</w:t>
            </w:r>
          </w:p>
          <w:p w14:paraId="589CE3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建立良好的护患关系</w:t>
            </w:r>
          </w:p>
          <w:p w14:paraId="3D7930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多数重性精神病患者缺乏自知力，不认为自己有病，对治疗护理不合作。建立信任的护患关系可以促进患者的合作和提高治疗的依从性。</w:t>
            </w:r>
          </w:p>
          <w:p w14:paraId="5056AF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改善现存或潜在的健康问题</w:t>
            </w:r>
          </w:p>
          <w:p w14:paraId="72F6C0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（1）做好药物治疗的卫生宣教，帮助患者认识治疗的重要性，学习一些减轻不适反应的方法，减轻患者对药物副作用的焦虑和担心，提高患者药物治疗的依从性。</w:t>
            </w:r>
          </w:p>
          <w:p w14:paraId="0D894E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密切观察患者用药后的反应，包括药物治疗的效果及不良反应，为医生用药和调整剂量提供参考。同时还需要注意观察患者的生理状况，如生命体征、血液生化检查、血药浓度等，以确保患者的治疗安全。对严重心血管系统的不良反应、恶性综合征等应提高警惕。</w:t>
            </w:r>
          </w:p>
          <w:p w14:paraId="5C4BF6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加强药物治疗中的基础护理，保证患者生理需要的满足。如因药物不良反应吞咽困难的患者应注意噎食，避免进食有骨头的食物，必要时专人喂食、鼻饲或静脉补充营养。对便秘患者应加强定时排便习惯的训练，鼓励患者多运动、多进食含粗纤维的蔬菜、水果。对尿潴留患者应及时处理，给予诱导排尿，必要时给予导尿。对体位性低血压、运动不能的患者应注意指导患者活动或起床时动作要慢，多给予协助，防跌伤。</w:t>
            </w:r>
          </w:p>
          <w:p w14:paraId="5CC681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认真执行服药制度，保证治疗安全和效果</w:t>
            </w:r>
          </w:p>
          <w:p w14:paraId="0CD257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在发药前应严格执行“三查八对”制度，为患者准备好温开水，看着患者服下，在不伤害患者自尊的情况下，认真检查患者是否真正服下，防止患者藏药。</w:t>
            </w:r>
          </w:p>
          <w:p w14:paraId="3C5A86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做好患者用药的健康指导工作</w:t>
            </w:r>
          </w:p>
          <w:p w14:paraId="43F6F8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特别是康复期患者，护士应主动介绍用药知识、服药方法、保管方法以及对一般药物副反应观察及处理方法。使患者了解用药目的，主动配合治疗，提高患者的自我控制能力和责任感。</w:t>
            </w:r>
            <w:r>
              <w:rPr>
                <w:rFonts w:hint="eastAsia" w:ascii="Times New Roman" w:hAnsi="Times New Roman"/>
                <w:b/>
                <w:color w:val="000000" w:themeColor="text1"/>
                <w:lang w:eastAsia="zh-CN"/>
                <w14:textFill>
                  <w14:solidFill>
                    <w14:schemeClr w14:val="tx1"/>
                  </w14:solidFill>
                </w14:textFill>
              </w:rPr>
              <w:t xml:space="preserve"> </w:t>
            </w:r>
          </w:p>
          <w:p w14:paraId="0483D520">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626C223">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展示精神药物治疗过程的护理</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14EE80D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CDC0C5F">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194DB032">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A1F8925">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简述潜在护理问题。</w:t>
            </w:r>
          </w:p>
        </w:tc>
        <w:tc>
          <w:tcPr>
            <w:tcW w:w="1366" w:type="dxa"/>
            <w:tcBorders>
              <w:tl2br w:val="nil"/>
              <w:tr2bl w:val="nil"/>
            </w:tcBorders>
            <w:vAlign w:val="center"/>
          </w:tcPr>
          <w:p w14:paraId="3926C6A4">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992DD2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070156F">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2712C6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47B1FF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展示电痉挛治疗过程的护理</w:t>
            </w:r>
          </w:p>
          <w:p w14:paraId="3634AF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一、适应证</w:t>
            </w:r>
          </w:p>
          <w:p w14:paraId="64A62E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（1）严重抑郁状态，有强烈自伤、自杀行为或明显的自责、自罪者。</w:t>
            </w:r>
          </w:p>
          <w:p w14:paraId="246EE0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（2）极度兴奋躁动、冲动伤人、毁物者。</w:t>
            </w:r>
          </w:p>
          <w:p w14:paraId="666430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（3）拒食拒药，违拗和紧张性木僵者。</w:t>
            </w:r>
          </w:p>
          <w:p w14:paraId="6F899D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（4）精神药物治疗后仍难以控制精神病症状者或精神分裂症急性发病者。</w:t>
            </w:r>
          </w:p>
          <w:p w14:paraId="43634A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二、禁忌证</w:t>
            </w:r>
          </w:p>
          <w:p w14:paraId="4CE9D9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改良的电痉挛治疗安全性高，适应证广，一般无绝对禁忌证。但某些疾病可增加治疗的危险性（即相对禁忌证），必须慎用，如下列疾病。</w:t>
            </w:r>
          </w:p>
          <w:p w14:paraId="5404B6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（1）大脑占位性病变、其他增加颅内压的病变及颅内出血。</w:t>
            </w:r>
          </w:p>
          <w:p w14:paraId="21F949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（2）有严重心脏和肺部疾病。</w:t>
            </w:r>
          </w:p>
          <w:p w14:paraId="0729E8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（3）动脉瘤、嗜铬细胞瘤。</w:t>
            </w:r>
          </w:p>
          <w:p w14:paraId="20321F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（4）青光眼、视网膜病变。</w:t>
            </w:r>
          </w:p>
          <w:p w14:paraId="4F39C9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（5）严重肝脏疾病。</w:t>
            </w:r>
          </w:p>
          <w:p w14:paraId="56B896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三、治疗方法</w:t>
            </w:r>
          </w:p>
          <w:p w14:paraId="32A37E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（一）治疗前的准备</w:t>
            </w:r>
          </w:p>
          <w:p w14:paraId="54BC50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（1）详细的体格检查和必要的理化检查，包括心电图、脑电图及胸部 X 线照片等。</w:t>
            </w:r>
          </w:p>
          <w:p w14:paraId="2A535B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（2）每次治疗前应向患者解释，解除其紧张、恐惧心理，争取合作，同时测体温、脉搏、呼吸与血压。</w:t>
            </w:r>
          </w:p>
          <w:p w14:paraId="1C8D8E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（3）治疗前禁饮食 6 ～ 8 小时，临做治疗前先排空大、小便，取下活动义齿、发卡，解开领扣、衣带。</w:t>
            </w:r>
          </w:p>
          <w:p w14:paraId="23682A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（4）准备好各种急救药品与器械。</w:t>
            </w:r>
          </w:p>
          <w:p w14:paraId="5A8238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（二）操作方法</w:t>
            </w:r>
          </w:p>
          <w:p w14:paraId="3AAF77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（1）治疗时患者仰卧治疗台上，四肢自然伸直，两肩胛垫一沙枕，使头部过伸，脊柱前突。</w:t>
            </w:r>
          </w:p>
          <w:p w14:paraId="5D9EE1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（2）静注阿托品 1mg 以减少呼吸道分泌物与防止心脏骤停。</w:t>
            </w:r>
          </w:p>
          <w:p w14:paraId="3F5E83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（3）静注 2.5% 硫喷妥纳 9 ～ 14ml（约 5mg/kg），静注速度前 6ml 约为 3ml/min，以后 2ml/min，当硫喷妥纳静注 7.5 ～ 10ml（约为全量 2/3）时给氧气吸入。</w:t>
            </w:r>
          </w:p>
          <w:p w14:paraId="2FB511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（4）静注 0.9% 氯化钠 2ml 防止硫喷妥纳与氯化琥珀酰胆碱混合发生沉淀。然后，氯化琥珀酰胆碱 1ml（50mg）以注射用水稀释到 3ml 快速静注（10 秒注完）。在麻醉后期，将涂有导电胶的电极片紧贴于患者头部两颞侧，注射药后 1 分钟，即可通电，根据不同的治疗机可适当确定通电参数，如交流电疗机一般为 90 ～ 110 ～ 130mA，通电时间为3 ～ 4 秒。</w:t>
            </w:r>
          </w:p>
          <w:p w14:paraId="2E4123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（5）通电结束时，用活瓣气囊供氧并加压人工呼吸，约 5 分钟自主呼吸可完全恢复。</w:t>
            </w:r>
          </w:p>
          <w:p w14:paraId="1E97E8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（6）每次治疗通电次数不得超过 3 次。治疗一般为隔日 1 次，每周 3 次。急性期患者可以每日 1 次，然后根据病情连续治疗 3～ 6 次后改隔日 1 次。疗程一般为 6～ 12 次。</w:t>
            </w:r>
          </w:p>
          <w:p w14:paraId="0C2529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四、不良反应</w:t>
            </w:r>
          </w:p>
          <w:p w14:paraId="46C89B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（1）治疗结束后意识处于蒙眬状态、兴奋不安，应予保护性约束；头昏、头痛、恶心、呕吐等，短期内可恢复。</w:t>
            </w:r>
          </w:p>
          <w:p w14:paraId="554970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（2）在通电结束后，易发生呼吸暂停现象，应立即疏通呼吸道，给予人工呼吸。</w:t>
            </w:r>
          </w:p>
          <w:p w14:paraId="5E467B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（3）可逆性的暂时性记忆丧失，一般在治疗停止 1 ～ 3 个月可恢复。</w:t>
            </w:r>
          </w:p>
          <w:p w14:paraId="7DE2CD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五、治疗过程的护理</w:t>
            </w:r>
          </w:p>
          <w:p w14:paraId="3B3089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（一）治疗前的护理</w:t>
            </w:r>
          </w:p>
          <w:p w14:paraId="697759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患者的准备</w:t>
            </w:r>
          </w:p>
          <w:p w14:paraId="4DF0D3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（1）向患者做好解释，消除其恐惧心理，以争取患者合作。</w:t>
            </w:r>
          </w:p>
          <w:p w14:paraId="69E748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（2）治疗前 8 小时禁食、禁饮，停服抗精神病药 1 次。</w:t>
            </w:r>
          </w:p>
          <w:p w14:paraId="290B48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（3）治疗前半小时测 T、P、R、BP 并记录在治疗单上。如果 T&gt;37.50℃，P&gt;120 次 / 分，应报告医生再进行处理。</w:t>
            </w:r>
          </w:p>
          <w:p w14:paraId="22BCA7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（4）治疗前嘱患者排空大小便。</w:t>
            </w:r>
          </w:p>
          <w:p w14:paraId="5DEF22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环境、用物和药品的准备</w:t>
            </w:r>
          </w:p>
          <w:p w14:paraId="4AEA26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（1）环境安静、清洁。</w:t>
            </w:r>
          </w:p>
          <w:p w14:paraId="37D04C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（2）治疗室应宽敞，以利操作。设有专用的治疗台及扁枕一个。</w:t>
            </w:r>
          </w:p>
          <w:p w14:paraId="471A63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（3）急救药品及用物。急救用物：简易人工呼吸器、给氧设备、压舌板（裹上纱布）、约束带、皮肤消毒剂、导电液（0.9% 生理盐水或冻胶）、注射器、棉签、砂轮；急救药品：可拉明、肾上腺素、50% 葡萄糖注射液等。</w:t>
            </w:r>
          </w:p>
          <w:p w14:paraId="2F9014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（4）按医嘱准备好治疗前用药，如阿托品等。</w:t>
            </w:r>
          </w:p>
          <w:p w14:paraId="42BAD8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（5）按医嘱调节电流频率及电量并掌握准确治疗时间。</w:t>
            </w:r>
          </w:p>
          <w:p w14:paraId="3096A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（二）治疗时的护理</w:t>
            </w:r>
          </w:p>
          <w:p w14:paraId="467614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（1）将患者仰卧于治疗台上，取下发夹、假牙、眼镜，松解领扣和腰带，清除口鼻分泌物，四肢保持自然伸直姿势，扁枕垫于第 5 ～ 8 胸椎之间，使脊柱前突以减少骨折。用纱布包裹的压舌板放在患者上、下臼齿之间防止咬伤。操作者用右手紧托患者的下颌，由两名助手固定患者肩肘、膝关节，以防引起骨折和脱位，禁止用力按压。</w:t>
            </w:r>
          </w:p>
          <w:p w14:paraId="54C50D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（2）抽搐后立即将患者头偏向一侧，使唾液流出，并立即去掉扁枕，进行人工呼吸，如自主呼吸未恢复可转动头部，刺激颈动脉化学感受器，兴奋呼吸中枢或根据医嘱注射可拉明，必要时给氧。</w:t>
            </w:r>
          </w:p>
          <w:p w14:paraId="4EB046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（3）及时填写电休克治疗单，整理用物。</w:t>
            </w:r>
          </w:p>
          <w:p w14:paraId="4EA751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（三）治疗后的护理</w:t>
            </w:r>
          </w:p>
          <w:p w14:paraId="3308B6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（1）患者应卧床休息，专人守护，意识未完全恢复前不可离开。如患者出现躁动不安应给予约束保护，以防跌伤。冬天则应注意保暖。</w:t>
            </w:r>
          </w:p>
          <w:p w14:paraId="42D26F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（2）如发现患者头、背部及肢体疼痛、呕吐或其他不适反应，立即报告医生进行检查处理。</w:t>
            </w:r>
          </w:p>
          <w:p w14:paraId="7C504C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（3）治疗后 2 小时内禁食，午餐给予流食或者半流食，晚餐根据患者情况可进半流食或普食。进餐时要看护好患者，观察吞咽反应，避免呛咳以防发生意外。</w:t>
            </w:r>
          </w:p>
          <w:p w14:paraId="17B83B09">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25CD240">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通过教师讲解，了解电痉挛治疗过程的护理的基本理论知识。</w:t>
            </w:r>
          </w:p>
        </w:tc>
      </w:tr>
      <w:tr w14:paraId="31E209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574A253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C2543E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6BA2B9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E0F73E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电痉挛治疗过程的护理</w:t>
            </w:r>
            <w:r>
              <w:rPr>
                <w:rFonts w:hint="eastAsia" w:ascii="宋体" w:hAnsi="宋体" w:cs="宋体"/>
                <w:b/>
                <w:bCs w:val="0"/>
                <w:kern w:val="0"/>
                <w:sz w:val="21"/>
                <w:szCs w:val="21"/>
                <w:lang w:val="en-US" w:eastAsia="zh-CN" w:bidi="ar"/>
              </w:rPr>
              <w:t>，让学生知道电痉挛治疗（ECT）是用短暂适量的电流刺激大脑，引起患者意识丧失，皮层广泛性脑电发放和全身性抽搐，以达到控制精神症状的一种治疗方法。</w:t>
            </w:r>
          </w:p>
        </w:tc>
        <w:tc>
          <w:tcPr>
            <w:tcW w:w="1366" w:type="dxa"/>
            <w:tcBorders>
              <w:tl2br w:val="nil"/>
              <w:tr2bl w:val="nil"/>
            </w:tcBorders>
            <w:vAlign w:val="center"/>
          </w:tcPr>
          <w:p w14:paraId="5B24D75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26B55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D157B70">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17FFCE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10FA4AA">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简述不良反应。</w:t>
            </w:r>
          </w:p>
        </w:tc>
        <w:tc>
          <w:tcPr>
            <w:tcW w:w="1366" w:type="dxa"/>
            <w:tcBorders>
              <w:tl2br w:val="nil"/>
              <w:tr2bl w:val="nil"/>
            </w:tcBorders>
            <w:vAlign w:val="center"/>
          </w:tcPr>
          <w:p w14:paraId="24BC1CD2">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66B962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625E24A">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56D76F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75896B63">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展示其他治疗过程的护理</w:t>
            </w:r>
          </w:p>
          <w:p w14:paraId="2F90DE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一、心理治疗的护理</w:t>
            </w:r>
          </w:p>
          <w:p w14:paraId="7C1CE8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心理治疗是治疗师在与患者建立治疗性关系的基础上，运用心理学的原理和方法，通过治疗者与被治疗者的互动过程，来达到治疗患者的心理和情绪障碍、矫正认知和行为等问题，并增进患者人格的成长。</w:t>
            </w:r>
          </w:p>
          <w:p w14:paraId="69497F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（一）心理治疗的分类</w:t>
            </w:r>
          </w:p>
          <w:p w14:paraId="193462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心理治疗按照其学术理论和治疗方式可分为分析性疗法、支持性心理疗法、行为疗法、人本主义疗法、认知疗法等。</w:t>
            </w:r>
          </w:p>
          <w:p w14:paraId="23DA61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（1）分析性疗法以弗洛伊德的精神分析原理为基础，通过挖掘患者潜意识内的冲突，深入了解患者的深层心理，协助患者解决内心冲突的根源。</w:t>
            </w:r>
          </w:p>
          <w:p w14:paraId="6273AC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支持性心理疗法是治疗者利用自己的权威、专业知识和关心，通过与患者建立良好的关系，来给予患者支持与鼓励，协助患者去适应目前所处的现实环境，使患者能发挥其个人的潜力来处理问题，度过危机，避免精神崩溃。</w:t>
            </w:r>
          </w:p>
          <w:p w14:paraId="1D842F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行为疗法的依据是学习心理学，认为任何行为都是人后天习得的，是后天的学习和周围环境反复刺激的结果，并认为通过适当的奖赏或惩罚就能对其行为进行操控。因此，治疗重点在于要更改或消除的行为，通过适当的赏罚如冲击疗法、厌恶疗法、强化疗法，使患者产生行为上的更改以达到治疗的目的。</w:t>
            </w:r>
          </w:p>
          <w:p w14:paraId="4BD539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（4）人本主义疗法强调人的自我实现的潜力，提倡治疗者通过关心、同情、理解和支持对待被治疗者，通过激发被治疗者自身的潜能来解决存在的问题。</w:t>
            </w:r>
          </w:p>
          <w:p w14:paraId="255D81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（5）认知疗法认为，一个人对事物的看法、观念会影响其情感和行为，所以治疗上只要找出错误的信念、异常的认知过程，通过改变被治疗者的错误认知，就可以纠正其不良情感和行为。</w:t>
            </w:r>
          </w:p>
          <w:p w14:paraId="363063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（二）心理治疗的基本要点</w:t>
            </w:r>
          </w:p>
          <w:p w14:paraId="0D7E99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建立良好的治疗性关系　良好的治疗性关系是治疗者开展心理治疗的基础，治疗者应以患者为中心，理解和同情患者，耐心倾听患者诉说，尽快建立与患者信任的治疗性关系。</w:t>
            </w:r>
          </w:p>
          <w:p w14:paraId="32F412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倾听　耐心倾听会使患者对治疗者产生被理解、被尊重感，在倾听的同时，做出适当的认同姿态也是心理治疗中的重要技巧之一。倾听但不予以任何批判、争辩或无意义的保证，这样既利于患者情感的宣泄，同时也保证了治疗者了解患者的问题所在，使治疗性的关系得以保持。</w:t>
            </w:r>
          </w:p>
          <w:p w14:paraId="6B48A6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适当帮助释放情感　治疗者的同情心和理解、适当关怀鼓励的态度会使患者尽量将情绪和压力宣泄出来，从而消除患者的紧张和焦虑。</w:t>
            </w:r>
          </w:p>
          <w:p w14:paraId="64E1E4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正确对待患者　患者对自身的疾病缺乏正确认知，以致产生无谓的烦恼，治疗者弄清患者存在的问题后，应注意患者消极的方面，同时也要注意患者积极的一面，并利用治疗者的权威给患者专业性的说明与指导，增强积极方面，减轻患者疑虑，帮助患者正确认识现实状况。</w:t>
            </w:r>
          </w:p>
          <w:p w14:paraId="76A40F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安慰、鼓励、保证　任何人在面临困难时，都希望得到外力支持、鼓励和帮助，治疗者通过安慰、鼓励和保证对患者进行强化，增加患者自信，使患者对生活重新树立信心。</w:t>
            </w:r>
          </w:p>
          <w:p w14:paraId="098CCB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暗示　医生利用自身权威性，以及专业知识和治疗能力进行暗示，能使患者不经过逻辑判断，直觉地接受医生灌输给他的观念而取得治疗效果。患者的人格特点及情绪状态对接受暗示的程度有一定影响，如果患者信任医生，与医生的治疗性关系良好，暗示的效果就好，否则效果不佳。</w:t>
            </w:r>
          </w:p>
          <w:p w14:paraId="005FFC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解释、教育和指导　根据科学道理，治疗者给予患者适当的解释，引导患者自己寻求答案。而对患者缺乏特定心理知识造成的问题应予必要的健康教育和指导。</w:t>
            </w:r>
          </w:p>
          <w:p w14:paraId="5CB290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（三）心理治疗过程的护理</w:t>
            </w:r>
          </w:p>
          <w:p w14:paraId="610B8B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治疗者的准备</w:t>
            </w:r>
          </w:p>
          <w:p w14:paraId="66E851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（1）评估患者是否适合参加心理治疗：这要求接受心理治疗的患者病情不能太重，应有治疗的动机、有内省力、有一定的人格弹性。</w:t>
            </w:r>
          </w:p>
          <w:p w14:paraId="10E351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（2）提供一个恰当的治疗环境：安静、整洁、宽松、舒适、无他人干扰。</w:t>
            </w:r>
          </w:p>
          <w:p w14:paraId="45E098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（3）做好患者方面的准备：预约患者提前 30 分钟到治疗室，初步了解患者的情况，做好必要的记录，根据患者的情况做好必要的健康指导。</w:t>
            </w:r>
          </w:p>
          <w:p w14:paraId="6FCDE5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治疗初期</w:t>
            </w:r>
          </w:p>
          <w:p w14:paraId="7FCEDB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（1）与患者建立治疗性关系，强化患者接受治疗的动机，以同情、关怀的态度接纳患者，使患者产生信任感。</w:t>
            </w:r>
          </w:p>
          <w:p w14:paraId="2899A8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（2）收集资料，包括患者求治的主要心理问题、个性特点、职业、生活习惯、对治疗的期望等。在充分了解患者背景资料的基础上有的放矢，与患者建立良好的治疗性关系。</w:t>
            </w:r>
          </w:p>
          <w:p w14:paraId="5AC9E4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治疗中期</w:t>
            </w:r>
          </w:p>
          <w:p w14:paraId="1DB44B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（1）协助患者了解自己及确立问题，鼓励患者观察自己的行为、情绪和认知等。</w:t>
            </w:r>
          </w:p>
          <w:p w14:paraId="20E01E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（2）提供学习和应用适当行为的机会，如社交技巧训练、主见训练、角色扮演等，指导患者学习如何与人交往和建立良好的人际关系。</w:t>
            </w:r>
          </w:p>
          <w:p w14:paraId="06DB84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（3）了解对治疗的促力与阻力，鼓励患者面对问题和焦虑情景，学习处理困扰情绪的方法，增加病识感，提升自信与自尊。</w:t>
            </w:r>
          </w:p>
          <w:p w14:paraId="1E0617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（4）协助患者培养独立性与责任感。当患者了解并接受自己，并体验以新的行为替代旧行为的正性影响时，才能对自己的问题负起改善的责任。因此，护士应不断鼓励和支持患者。</w:t>
            </w:r>
          </w:p>
          <w:p w14:paraId="1DA82F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治疗末期</w:t>
            </w:r>
          </w:p>
          <w:p w14:paraId="71269B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（1）回顾整个治疗过程，肯定患者的努力与进步。</w:t>
            </w:r>
          </w:p>
          <w:p w14:paraId="0A463F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（2）处理分离情绪。</w:t>
            </w:r>
          </w:p>
          <w:p w14:paraId="3D5F8B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（3）鼓励患者将所学适应性行为应用到日常生活中。</w:t>
            </w:r>
          </w:p>
          <w:p w14:paraId="234131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（4）协助患者培养独立性与责任感，让患者自己做决定。</w:t>
            </w:r>
          </w:p>
          <w:p w14:paraId="2E26E4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二、康复治疗的护理</w:t>
            </w:r>
          </w:p>
          <w:p w14:paraId="3AA57C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精神疾病的康复治疗，是指通过对精神患者进行生活、职业、学习等技能的反复训练，来恢复或减轻疾病对患者心理社会功能的损害，以尽量提高其生活技能，减轻精神残疾，重新回归社会的一种治疗方法。</w:t>
            </w:r>
          </w:p>
          <w:p w14:paraId="0F8E2C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（一）康复治疗的原则</w:t>
            </w:r>
          </w:p>
          <w:p w14:paraId="61A569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功能训练</w:t>
            </w:r>
          </w:p>
          <w:p w14:paraId="7B77AE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功能训练是康复的方法和手段，包括精神（心理）活动、语言沟通、生活技能、职业生活和社会生活等方面的技能训练。</w:t>
            </w:r>
          </w:p>
          <w:p w14:paraId="4DD78B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全面康复</w:t>
            </w:r>
          </w:p>
          <w:p w14:paraId="4BAACC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全面康复是康复的准则与方针，是指患者在心理—生理—社会上得到全面整体的康复。</w:t>
            </w:r>
          </w:p>
          <w:p w14:paraId="0AF33C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重返社会为康复的方向和目标</w:t>
            </w:r>
          </w:p>
          <w:p w14:paraId="385D50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通过全面功能康复锻炼后，促使患者重返社会，以自身的能力适应社会发展。</w:t>
            </w:r>
          </w:p>
          <w:p w14:paraId="2631E0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（二）康复治疗的方法与护理</w:t>
            </w:r>
          </w:p>
          <w:p w14:paraId="4B1BF5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精神疾病的康复治疗包括医院内和医院外的治疗，这要求患者及患者的家庭成员、朋友和社会人士及医务人员的密切配合。对患者来说，康复治疗主要是日常生活和社会职业技巧的训练，通过小组或个人治疗，帮助患者提高社会交往能力，保持或学习从事工作的能力，同时训练应付心理应激的方法，以促进其疾病的康复。而对患者家属而言，康复治疗是加强健康教育，掌握康复知识，帮助患者正确地面对，减少他们的自卑感或其他心理问题。康复治疗的布局与机构设置及措施，各地存在诸多不同，下面主要介绍医院内几种精神康复治疗。</w:t>
            </w:r>
          </w:p>
          <w:p w14:paraId="66E0C8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日常生活行为的技能训练</w:t>
            </w:r>
          </w:p>
          <w:p w14:paraId="7EB06A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日常生活行为的技能训练是帮助患者逐步掌握日常生活环境的行为技能，应根据不同的精神障碍采用不同的训练方法。训练对象多为慢性衰退患者，由于其行为退缩、情感淡漠、活动减少、生活懒散、仪表不整，有的完全不能自理生活，所以应模拟家庭训练和实地训练来改善和提高患者的日常生活能力和自我照顾能力。</w:t>
            </w:r>
          </w:p>
          <w:p w14:paraId="668E87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学习行为技能的训练</w:t>
            </w:r>
          </w:p>
          <w:p w14:paraId="4FCCC0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学习行为技能训练的目的是训练精神病患者学习如何处理和应付各种实际问题行为能力。学习应采取多样形式，学习内容也应具有趣味性，并易于接受和掌握，其主要有以下内容。</w:t>
            </w:r>
          </w:p>
          <w:p w14:paraId="25F804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（1）一般性学习活动。如时事教育、卫生常识、一般科技知识等，其目的是提高患者的常识水平，培养其学习新事物、新知识的习惯。</w:t>
            </w:r>
          </w:p>
          <w:p w14:paraId="117802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药物治疗的自我管理技能训练。其目的是通过向患者讲解药物治疗的重要性、治疗作用和副作用等，使患者认识服药的重要性，自觉接受药物治疗，并学会药物治疗的自我管理方式如安全用药、药物的保管、每次用药的查对、用药过程出现不适反应的识别等，以及如何报告医生、寻求帮助的技巧等。</w:t>
            </w:r>
          </w:p>
          <w:p w14:paraId="379558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职业行为的技能训练</w:t>
            </w:r>
          </w:p>
          <w:p w14:paraId="3D9096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通过劳动活动和贴近社会职业技能训练，培养患者劳动的习惯，使精神病患者也具有一定的工作就业的行为技能，为重新回归社会做好准备。开展职业技能训练应结合具体患者的实际开展不同的行为训练内容，如简单的作业训练、工艺制作、销售服务等。</w:t>
            </w:r>
          </w:p>
          <w:p w14:paraId="094727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在职业训练中，康复护士要遵循以下原则。</w:t>
            </w:r>
          </w:p>
          <w:p w14:paraId="1B99D3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（1）训练内容要与现实生活有密切联系，使患者从中能体验到责任感及自身所起的作用和贡献。</w:t>
            </w:r>
          </w:p>
          <w:p w14:paraId="76EA64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（2）积极争取患者主动参与各种训练，尽可能地扩大和挖掘其潜能。</w:t>
            </w:r>
          </w:p>
          <w:p w14:paraId="2F897C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（3）鼓励和帮助患者在参与职业训练中加强与他人的合作关系及良好的人际关系。</w:t>
            </w:r>
          </w:p>
          <w:p w14:paraId="2965B1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（4）职业技能训练要根据患者的自控能力水平而定，不宜要求过高或过低。</w:t>
            </w:r>
          </w:p>
          <w:p w14:paraId="57B1DD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（5）职业技能训练中应注意安全，应有必要监护措施，防止意外事件发生。</w:t>
            </w:r>
          </w:p>
          <w:p w14:paraId="3442FB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（6）职业技能训练活动应尽早争取家属参与及社会力量支持，这样有利于患者真正走入社会时能够得到良好的衔接。</w:t>
            </w:r>
          </w:p>
          <w:p w14:paraId="729469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三、工娱治疗的护理</w:t>
            </w:r>
          </w:p>
          <w:p w14:paraId="5A6448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工娱治疗是通过规律地安排患者参加一些简单工作或劳动、文体娱乐活动来调节患者的日常生活，缓解和改善精神症状，防止精神衰退，提高适应外界环境能力的治疗方法。工娱治疗在院内院外均可以得到良好的开展，已成为精神患者恢复期或慢性期一种重要的辅助治疗手段。</w:t>
            </w:r>
          </w:p>
          <w:p w14:paraId="24BF1C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（一）工娱治疗的内容与方法</w:t>
            </w:r>
          </w:p>
          <w:p w14:paraId="1A4F40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工娱治疗的内容可以根据本院的具体情况而定，但工娱治疗的医护人员必须具备精神医学专业基础知识，同时具有一定的组织管理能力，要熟悉和掌握各种工娱治疗的具体步骤与方法及解决工娱治疗开展过程中遇到的问题。</w:t>
            </w:r>
          </w:p>
          <w:p w14:paraId="657B9B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工疗活动</w:t>
            </w:r>
          </w:p>
          <w:p w14:paraId="12DEE3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不同类型的患者开展适合的工疗活动。例如，针对情绪低落、情感淡漠的患者，可以开展带有刺激性的简单工作如简单包装、给纸盒上色、做布艺玩具等，以增强患者对事物的注意；对于衰退的患者，可予一般性的劳动，如打扫环境卫生、给花草浇水等；而对于兴奋多动的患者，则给予劳动强度相对较大的劳动，如搬运物品等。</w:t>
            </w:r>
          </w:p>
          <w:p w14:paraId="1F4ABC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文娱活动</w:t>
            </w:r>
          </w:p>
          <w:p w14:paraId="1175F5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可组织集体听音乐或让患者参加卡拉 OK 歌唱比赛；也可以组织指导患者阅读报纸杂志或一起观赏电视电影；还可以组织患者召开节日或周末音乐会、舞会、家属联谊会、茶话会等。</w:t>
            </w:r>
          </w:p>
          <w:p w14:paraId="42BE78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体育锻炼活动</w:t>
            </w:r>
          </w:p>
          <w:p w14:paraId="4ABBFB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每天组织患者按时参加晨跑、早操、工间操；教授健美操、瑜伽等；开展球类运动比赛如乒乓球、羽毛球、排球等；组织棋牌类活动如下象棋、军棋、打扑克牌等；开展集体游戏活动，如跳绳或拔河比赛等。</w:t>
            </w:r>
          </w:p>
          <w:p w14:paraId="03D94D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健康教育活动</w:t>
            </w:r>
          </w:p>
          <w:p w14:paraId="6515D4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组织开展医学知识小讲座，指导患者现场互动，交流治疗期疑难问题或康复经验。同时组织患者每日通过报纸或电视新闻了解现实社会状况，防止患者有脱离社会的感觉。</w:t>
            </w:r>
          </w:p>
          <w:p w14:paraId="4342A5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（二）工娱治疗的注意事项</w:t>
            </w:r>
          </w:p>
          <w:p w14:paraId="238299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工娱治疗的项目和规模应根据医院的规模、性质及床位而定，还要根据患者具体病情安排。一般来说，对于慢性衰退、长期住院的患者，规模大的、床位多的医院应开展较大规模的工娱治疗；而对急性期患者，以治疗、教学为主的医院，应在工娱疗室内集中进行工娱治疗；病情稳定和急性期的患者应分开安排。</w:t>
            </w:r>
          </w:p>
          <w:p w14:paraId="779DFD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（2）做好工娱治疗场所的安全保护工作，如音乐治疗室的电源插座、开关等设施应安装在单独的操作室；自责自罪、有自杀企图的患者参加活动，要防止与刀、剪等工具接触，以防发生意外。</w:t>
            </w:r>
          </w:p>
          <w:p w14:paraId="4AD085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（3）在开展工娱治疗的过程中，应注意患者精神症状的变化，如有异常，则立刻停止工娱治疗活动。</w:t>
            </w:r>
          </w:p>
          <w:p w14:paraId="16F812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（4）治疗结束后，应清点人数，做好交接班工作，以防患者走失或逃跑。</w:t>
            </w:r>
          </w:p>
          <w:p w14:paraId="471F80E2">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1392627">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通过教师讲解，了解说其他治疗过程的护理的基本理论知识。</w:t>
            </w:r>
          </w:p>
        </w:tc>
      </w:tr>
      <w:tr w14:paraId="2FF209E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6ACE436">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4D2C30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594F58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0559D8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其他治疗过程的护理</w:t>
            </w:r>
            <w:r>
              <w:rPr>
                <w:rFonts w:hint="eastAsia" w:ascii="宋体" w:hAnsi="宋体" w:cs="宋体"/>
                <w:b/>
                <w:bCs w:val="0"/>
                <w:kern w:val="0"/>
                <w:sz w:val="21"/>
                <w:szCs w:val="21"/>
                <w:lang w:val="en-US" w:eastAsia="zh-CN" w:bidi="ar"/>
              </w:rPr>
              <w:t>，让学生知道说明文根据表达方式的不同，可以分为一般性说明文和文艺性说明文</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8B20F8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6BAE1A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1AE0C00">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D130E6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34DEE0F">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简述工娱治疗的注意事项。</w:t>
            </w:r>
          </w:p>
        </w:tc>
        <w:tc>
          <w:tcPr>
            <w:tcW w:w="1366" w:type="dxa"/>
            <w:tcBorders>
              <w:tl2br w:val="nil"/>
              <w:tr2bl w:val="nil"/>
            </w:tcBorders>
            <w:vAlign w:val="center"/>
          </w:tcPr>
          <w:p w14:paraId="4CBA227E">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961D8B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54DCCB4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6B86E780">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教学中，要尽量多创设一些情境和活动来组织教学，不需要太花哨的游戏，并且在教学中不能游戏过多而忽略了主要的教学资料的讲解和训练。</w:t>
            </w:r>
          </w:p>
        </w:tc>
      </w:tr>
    </w:tbl>
    <w:p w14:paraId="3629520E"/>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2252067A-9C3C-4518-A822-3EB6B670B71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AE10EF9A-736B-4EC9-9BBE-2DE00611A43C}"/>
  </w:font>
  <w:font w:name="微软雅黑">
    <w:panose1 w:val="020B0503020204020204"/>
    <w:charset w:val="86"/>
    <w:family w:val="auto"/>
    <w:pitch w:val="default"/>
    <w:sig w:usb0="80000287" w:usb1="2ACF3C50" w:usb2="00000016" w:usb3="00000000" w:csb0="0004001F" w:csb1="00000000"/>
    <w:embedRegular r:id="rId3" w:fontKey="{1F6AB05B-33A4-455F-85B1-1131472A5684}"/>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F3B170D2-3EA0-49E6-A129-1DF0A06E48EE}"/>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48F18AB3-4429-4492-AE0E-C04C9BDF5162}"/>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61E1B96"/>
    <w:rsid w:val="0AC91BFE"/>
    <w:rsid w:val="0E3C75E8"/>
    <w:rsid w:val="129B16E6"/>
    <w:rsid w:val="154645F8"/>
    <w:rsid w:val="1E9C42C4"/>
    <w:rsid w:val="1FB84519"/>
    <w:rsid w:val="2003061B"/>
    <w:rsid w:val="20F13C9B"/>
    <w:rsid w:val="238347DF"/>
    <w:rsid w:val="24B477DD"/>
    <w:rsid w:val="278141AB"/>
    <w:rsid w:val="27DD6975"/>
    <w:rsid w:val="28697739"/>
    <w:rsid w:val="28B578A7"/>
    <w:rsid w:val="322A12C5"/>
    <w:rsid w:val="34AD60CD"/>
    <w:rsid w:val="34B67F89"/>
    <w:rsid w:val="368D542E"/>
    <w:rsid w:val="388B134B"/>
    <w:rsid w:val="421F2EEA"/>
    <w:rsid w:val="436C72A2"/>
    <w:rsid w:val="43CD7F64"/>
    <w:rsid w:val="44B33A23"/>
    <w:rsid w:val="45C91BBA"/>
    <w:rsid w:val="49F8701E"/>
    <w:rsid w:val="4C7F0E23"/>
    <w:rsid w:val="4EC85950"/>
    <w:rsid w:val="50A0169A"/>
    <w:rsid w:val="52E8648C"/>
    <w:rsid w:val="582E68E8"/>
    <w:rsid w:val="59DB4E4A"/>
    <w:rsid w:val="59FE0152"/>
    <w:rsid w:val="5A7C6694"/>
    <w:rsid w:val="5FFC3909"/>
    <w:rsid w:val="600E33E1"/>
    <w:rsid w:val="622A303A"/>
    <w:rsid w:val="6D5910F7"/>
    <w:rsid w:val="723010AC"/>
    <w:rsid w:val="75EA2622"/>
    <w:rsid w:val="7D85384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19</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2025-07-22T09:12:22Z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2B75D15225674FDE90EAE3C7223B8027_13</vt:lpwstr>
  </property>
  <property fmtid="{D5CDD505-2E9C-101B-9397-08002B2CF9AE}" pid="4" name="KSOTemplateDocerSaveRecord">
    <vt:lpwstr>eyJoZGlkIjoiOTcxZjc4Y2ViNTBlZDVmZTI3YTAxZGE1NWVmM2E2NDEiLCJ1c2VySWQiOiI0MDMzMDA2MzYifQ==</vt:lpwstr>
  </property>
</Properties>
</file>